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BB88B" w14:textId="0B7D3E9A" w:rsidR="00D94D16" w:rsidRPr="002804C8" w:rsidRDefault="00907293">
      <w:pPr>
        <w:rPr>
          <w:rFonts w:asciiTheme="majorHAnsi" w:hAnsiTheme="majorHAnsi"/>
          <w:b/>
          <w:sz w:val="28"/>
          <w:szCs w:val="28"/>
        </w:rPr>
      </w:pPr>
      <w:r w:rsidRPr="002804C8">
        <w:rPr>
          <w:rFonts w:asciiTheme="majorHAnsi" w:hAnsiTheme="majorHAnsi"/>
          <w:b/>
          <w:sz w:val="28"/>
          <w:szCs w:val="28"/>
        </w:rPr>
        <w:t>Property</w:t>
      </w:r>
      <w:r w:rsidR="00410D09" w:rsidRPr="002804C8">
        <w:rPr>
          <w:rFonts w:asciiTheme="majorHAnsi" w:hAnsiTheme="majorHAnsi"/>
          <w:b/>
          <w:sz w:val="28"/>
          <w:szCs w:val="28"/>
        </w:rPr>
        <w:t xml:space="preserve"> d</w:t>
      </w:r>
      <w:r w:rsidRPr="002804C8">
        <w:rPr>
          <w:rFonts w:asciiTheme="majorHAnsi" w:hAnsiTheme="majorHAnsi"/>
          <w:b/>
          <w:sz w:val="28"/>
          <w:szCs w:val="28"/>
        </w:rPr>
        <w:t xml:space="preserve">iversity and </w:t>
      </w:r>
      <w:r w:rsidR="00E74259" w:rsidRPr="002804C8">
        <w:rPr>
          <w:rFonts w:asciiTheme="majorHAnsi" w:hAnsiTheme="majorHAnsi"/>
          <w:b/>
          <w:sz w:val="28"/>
          <w:szCs w:val="28"/>
        </w:rPr>
        <w:t xml:space="preserve">a duty of </w:t>
      </w:r>
      <w:r w:rsidRPr="002804C8">
        <w:rPr>
          <w:rFonts w:asciiTheme="majorHAnsi" w:hAnsiTheme="majorHAnsi"/>
          <w:b/>
          <w:sz w:val="28"/>
          <w:szCs w:val="28"/>
        </w:rPr>
        <w:t>land stewardship</w:t>
      </w:r>
    </w:p>
    <w:p w14:paraId="13D6A860" w14:textId="77777777" w:rsidR="002804C8" w:rsidRPr="002804C8" w:rsidRDefault="002804C8">
      <w:pPr>
        <w:rPr>
          <w:rFonts w:asciiTheme="majorHAnsi" w:hAnsiTheme="majorHAnsi"/>
          <w:b/>
          <w:sz w:val="28"/>
          <w:szCs w:val="28"/>
        </w:rPr>
      </w:pPr>
    </w:p>
    <w:p w14:paraId="2D061C41" w14:textId="5E76B7FD" w:rsidR="002804C8" w:rsidRPr="002804C8" w:rsidRDefault="002804C8">
      <w:pPr>
        <w:rPr>
          <w:rFonts w:asciiTheme="majorHAnsi" w:hAnsiTheme="majorHAnsi"/>
          <w:b/>
        </w:rPr>
      </w:pPr>
      <w:r w:rsidRPr="002804C8">
        <w:rPr>
          <w:rFonts w:asciiTheme="majorHAnsi" w:hAnsiTheme="majorHAnsi"/>
          <w:b/>
        </w:rPr>
        <w:t>John Page</w:t>
      </w:r>
    </w:p>
    <w:p w14:paraId="0BC3A19D" w14:textId="3013AF83" w:rsidR="000E303B" w:rsidRPr="002804C8" w:rsidRDefault="00005435">
      <w:pPr>
        <w:rPr>
          <w:rFonts w:asciiTheme="majorHAnsi" w:hAnsiTheme="majorHAnsi"/>
          <w:b/>
        </w:rPr>
      </w:pPr>
      <w:r w:rsidRPr="002804C8">
        <w:rPr>
          <w:rFonts w:asciiTheme="majorHAnsi" w:hAnsiTheme="majorHAnsi"/>
          <w:b/>
        </w:rPr>
        <w:t>Senior Lecturer, Southern Cross University, Australia</w:t>
      </w:r>
    </w:p>
    <w:p w14:paraId="6B1BB3D6" w14:textId="77777777" w:rsidR="00907293" w:rsidRPr="002804C8" w:rsidRDefault="00907293">
      <w:pPr>
        <w:rPr>
          <w:rFonts w:asciiTheme="majorHAnsi" w:hAnsiTheme="majorHAnsi"/>
        </w:rPr>
      </w:pPr>
    </w:p>
    <w:p w14:paraId="63B6784E" w14:textId="0B2CE92A" w:rsidR="0035315D" w:rsidRDefault="0035315D" w:rsidP="000A2E48">
      <w:pPr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Abstract</w:t>
      </w:r>
    </w:p>
    <w:p w14:paraId="20CF149A" w14:textId="6A3224F2" w:rsidR="00907293" w:rsidRPr="002804C8" w:rsidRDefault="000A2E48" w:rsidP="000A2E48">
      <w:pPr>
        <w:rPr>
          <w:rFonts w:asciiTheme="majorHAnsi" w:hAnsiTheme="majorHAnsi" w:cs="Times New Roman"/>
        </w:rPr>
      </w:pPr>
      <w:r w:rsidRPr="002804C8">
        <w:rPr>
          <w:rFonts w:asciiTheme="majorHAnsi" w:hAnsiTheme="majorHAnsi" w:cs="Times New Roman"/>
        </w:rPr>
        <w:t>To ‘see’ property patterns in human landscapes is to invoke a duality of perspective.  One view is atomistic, an image of individual land parcels, and the distinct property lines that divide and fragment ownerships.</w:t>
      </w:r>
      <w:r w:rsidRPr="002804C8">
        <w:rPr>
          <w:rStyle w:val="FootnoteReference"/>
          <w:rFonts w:asciiTheme="majorHAnsi" w:hAnsiTheme="majorHAnsi" w:cs="Times New Roman"/>
        </w:rPr>
        <w:footnoteReference w:id="1"/>
      </w:r>
      <w:r w:rsidRPr="002804C8">
        <w:rPr>
          <w:rFonts w:asciiTheme="majorHAnsi" w:hAnsiTheme="majorHAnsi" w:cs="Times New Roman"/>
        </w:rPr>
        <w:t xml:space="preserve">  The other is holistic, the collective ‘warp and woof’</w:t>
      </w:r>
      <w:r w:rsidRPr="002804C8">
        <w:rPr>
          <w:rStyle w:val="FootnoteReference"/>
          <w:rFonts w:asciiTheme="majorHAnsi" w:hAnsiTheme="majorHAnsi" w:cs="Times New Roman"/>
        </w:rPr>
        <w:footnoteReference w:id="2"/>
      </w:r>
      <w:r w:rsidRPr="002804C8">
        <w:rPr>
          <w:rFonts w:asciiTheme="majorHAnsi" w:hAnsiTheme="majorHAnsi" w:cs="Times New Roman"/>
        </w:rPr>
        <w:t xml:space="preserve"> of property type that weaves a pluralistic fabric across place.  </w:t>
      </w:r>
      <w:r w:rsidR="007032DC" w:rsidRPr="002804C8">
        <w:rPr>
          <w:rFonts w:asciiTheme="majorHAnsi" w:hAnsiTheme="majorHAnsi" w:cs="Times New Roman"/>
        </w:rPr>
        <w:t>In</w:t>
      </w:r>
      <w:r w:rsidRPr="002804C8">
        <w:rPr>
          <w:rFonts w:asciiTheme="majorHAnsi" w:hAnsiTheme="majorHAnsi" w:cs="Times New Roman"/>
        </w:rPr>
        <w:t xml:space="preserve"> this conflicted dialectic, where the private</w:t>
      </w:r>
      <w:r w:rsidR="00410D09" w:rsidRPr="002804C8">
        <w:rPr>
          <w:rFonts w:asciiTheme="majorHAnsi" w:hAnsiTheme="majorHAnsi" w:cs="Times New Roman"/>
        </w:rPr>
        <w:t>,</w:t>
      </w:r>
      <w:r w:rsidRPr="002804C8">
        <w:rPr>
          <w:rFonts w:asciiTheme="majorHAnsi" w:hAnsiTheme="majorHAnsi" w:cs="Times New Roman"/>
        </w:rPr>
        <w:t xml:space="preserve"> atomistic vision of property is </w:t>
      </w:r>
      <w:r w:rsidR="00410D09" w:rsidRPr="002804C8">
        <w:rPr>
          <w:rFonts w:asciiTheme="majorHAnsi" w:hAnsiTheme="majorHAnsi" w:cs="Times New Roman"/>
        </w:rPr>
        <w:t>dominant yet only</w:t>
      </w:r>
      <w:r w:rsidRPr="002804C8">
        <w:rPr>
          <w:rFonts w:asciiTheme="majorHAnsi" w:hAnsiTheme="majorHAnsi" w:cs="Times New Roman"/>
        </w:rPr>
        <w:t xml:space="preserve"> ‘half-true’</w:t>
      </w:r>
      <w:r w:rsidR="000E303B" w:rsidRPr="002804C8">
        <w:rPr>
          <w:rStyle w:val="FootnoteReference"/>
          <w:rFonts w:asciiTheme="majorHAnsi" w:hAnsiTheme="majorHAnsi" w:cs="Times New Roman"/>
        </w:rPr>
        <w:footnoteReference w:id="3"/>
      </w:r>
      <w:r w:rsidRPr="002804C8">
        <w:rPr>
          <w:rFonts w:asciiTheme="majorHAnsi" w:hAnsiTheme="majorHAnsi" w:cs="Times New Roman"/>
        </w:rPr>
        <w:t xml:space="preserve">, land </w:t>
      </w:r>
      <w:r w:rsidR="00410D09" w:rsidRPr="002804C8">
        <w:rPr>
          <w:rFonts w:asciiTheme="majorHAnsi" w:hAnsiTheme="majorHAnsi" w:cs="Times New Roman"/>
        </w:rPr>
        <w:t xml:space="preserve">stewardship </w:t>
      </w:r>
      <w:r w:rsidRPr="002804C8">
        <w:rPr>
          <w:rFonts w:asciiTheme="majorHAnsi" w:hAnsiTheme="majorHAnsi" w:cs="Times New Roman"/>
        </w:rPr>
        <w:t>is an ideal largely adrift.</w:t>
      </w:r>
    </w:p>
    <w:p w14:paraId="43561529" w14:textId="77777777" w:rsidR="000A2E48" w:rsidRPr="002804C8" w:rsidRDefault="000A2E48" w:rsidP="000A2E48">
      <w:pPr>
        <w:rPr>
          <w:rFonts w:asciiTheme="majorHAnsi" w:hAnsiTheme="majorHAnsi" w:cs="Times New Roman"/>
        </w:rPr>
      </w:pPr>
      <w:bookmarkStart w:id="0" w:name="_GoBack"/>
      <w:bookmarkEnd w:id="0"/>
    </w:p>
    <w:p w14:paraId="5876AF18" w14:textId="5128BB2C" w:rsidR="000E303B" w:rsidRPr="002804C8" w:rsidRDefault="00484715" w:rsidP="007032DC">
      <w:pPr>
        <w:rPr>
          <w:rFonts w:asciiTheme="majorHAnsi" w:hAnsiTheme="majorHAnsi"/>
        </w:rPr>
      </w:pPr>
      <w:r w:rsidRPr="002804C8">
        <w:rPr>
          <w:rFonts w:asciiTheme="majorHAnsi" w:hAnsiTheme="majorHAnsi" w:cs="Times New Roman"/>
        </w:rPr>
        <w:t>To re-</w:t>
      </w:r>
      <w:r w:rsidR="00410D09" w:rsidRPr="002804C8">
        <w:rPr>
          <w:rFonts w:asciiTheme="majorHAnsi" w:hAnsiTheme="majorHAnsi" w:cs="Times New Roman"/>
        </w:rPr>
        <w:t xml:space="preserve">imagine property as a </w:t>
      </w:r>
      <w:r w:rsidR="000A2E48" w:rsidRPr="002804C8">
        <w:rPr>
          <w:rFonts w:asciiTheme="majorHAnsi" w:hAnsiTheme="majorHAnsi" w:cs="Times New Roman"/>
        </w:rPr>
        <w:t xml:space="preserve">mosaic of </w:t>
      </w:r>
      <w:r w:rsidR="00410D09" w:rsidRPr="002804C8">
        <w:rPr>
          <w:rFonts w:asciiTheme="majorHAnsi" w:hAnsiTheme="majorHAnsi" w:cs="Times New Roman"/>
        </w:rPr>
        <w:t xml:space="preserve">diverse </w:t>
      </w:r>
      <w:r w:rsidR="000A2E48" w:rsidRPr="002804C8">
        <w:rPr>
          <w:rFonts w:asciiTheme="majorHAnsi" w:hAnsiTheme="majorHAnsi" w:cs="Times New Roman"/>
        </w:rPr>
        <w:t>types, ownerships, and interests, is to shift perspective</w:t>
      </w:r>
      <w:r w:rsidR="00410D09" w:rsidRPr="002804C8">
        <w:rPr>
          <w:rFonts w:asciiTheme="majorHAnsi" w:hAnsiTheme="majorHAnsi" w:cs="Times New Roman"/>
        </w:rPr>
        <w:t xml:space="preserve">. It is to envision a conceptualization of property accommodating of ownership </w:t>
      </w:r>
      <w:r w:rsidRPr="002804C8">
        <w:rPr>
          <w:rFonts w:asciiTheme="majorHAnsi" w:hAnsiTheme="majorHAnsi" w:cs="Times New Roman"/>
        </w:rPr>
        <w:t xml:space="preserve">obligations, as well as rights, </w:t>
      </w:r>
      <w:r w:rsidR="007032DC" w:rsidRPr="002804C8">
        <w:rPr>
          <w:rFonts w:asciiTheme="majorHAnsi" w:hAnsiTheme="majorHAnsi" w:cs="Times New Roman"/>
        </w:rPr>
        <w:t xml:space="preserve">where </w:t>
      </w:r>
      <w:r w:rsidRPr="002804C8">
        <w:rPr>
          <w:rFonts w:asciiTheme="majorHAnsi" w:hAnsiTheme="majorHAnsi" w:cs="Times New Roman"/>
        </w:rPr>
        <w:t xml:space="preserve">ownership of land </w:t>
      </w:r>
      <w:r w:rsidR="00C24A35" w:rsidRPr="002804C8">
        <w:rPr>
          <w:rFonts w:asciiTheme="majorHAnsi" w:hAnsiTheme="majorHAnsi" w:cs="Times New Roman"/>
        </w:rPr>
        <w:t>is</w:t>
      </w:r>
      <w:r w:rsidR="007032DC" w:rsidRPr="002804C8">
        <w:rPr>
          <w:rFonts w:asciiTheme="majorHAnsi" w:hAnsiTheme="majorHAnsi" w:cs="Times New Roman"/>
        </w:rPr>
        <w:t xml:space="preserve"> </w:t>
      </w:r>
      <w:r w:rsidRPr="002804C8">
        <w:rPr>
          <w:rFonts w:asciiTheme="majorHAnsi" w:hAnsiTheme="majorHAnsi"/>
        </w:rPr>
        <w:t>‘suffused with moral content</w:t>
      </w:r>
      <w:r w:rsidR="000E303B" w:rsidRPr="002804C8">
        <w:rPr>
          <w:rFonts w:asciiTheme="majorHAnsi" w:hAnsiTheme="majorHAnsi"/>
        </w:rPr>
        <w:t>.</w:t>
      </w:r>
      <w:r w:rsidRPr="002804C8">
        <w:rPr>
          <w:rFonts w:asciiTheme="majorHAnsi" w:hAnsiTheme="majorHAnsi"/>
        </w:rPr>
        <w:t>’</w:t>
      </w:r>
      <w:r w:rsidRPr="002804C8">
        <w:rPr>
          <w:rStyle w:val="FootnoteReference"/>
          <w:rFonts w:asciiTheme="majorHAnsi" w:hAnsiTheme="majorHAnsi"/>
        </w:rPr>
        <w:footnoteReference w:id="4"/>
      </w:r>
      <w:r w:rsidRPr="002804C8">
        <w:rPr>
          <w:rFonts w:asciiTheme="majorHAnsi" w:hAnsiTheme="majorHAnsi"/>
        </w:rPr>
        <w:t xml:space="preserve"> This paper </w:t>
      </w:r>
      <w:r w:rsidR="007032DC" w:rsidRPr="002804C8">
        <w:rPr>
          <w:rFonts w:asciiTheme="majorHAnsi" w:hAnsiTheme="majorHAnsi"/>
        </w:rPr>
        <w:t xml:space="preserve">describes </w:t>
      </w:r>
      <w:r w:rsidRPr="002804C8">
        <w:rPr>
          <w:rFonts w:asciiTheme="majorHAnsi" w:hAnsiTheme="majorHAnsi"/>
        </w:rPr>
        <w:t>property diversity</w:t>
      </w:r>
      <w:r w:rsidR="007032DC" w:rsidRPr="002804C8">
        <w:rPr>
          <w:rFonts w:asciiTheme="majorHAnsi" w:hAnsiTheme="majorHAnsi"/>
        </w:rPr>
        <w:t>, a conceptualization reflective of the truth of ‘the propertied facts on the ground’</w:t>
      </w:r>
      <w:r w:rsidR="00AD323C" w:rsidRPr="002804C8">
        <w:rPr>
          <w:rStyle w:val="FootnoteReference"/>
          <w:rFonts w:asciiTheme="majorHAnsi" w:hAnsiTheme="majorHAnsi"/>
        </w:rPr>
        <w:footnoteReference w:id="5"/>
      </w:r>
      <w:r w:rsidR="007032DC" w:rsidRPr="002804C8">
        <w:rPr>
          <w:rFonts w:asciiTheme="majorHAnsi" w:hAnsiTheme="majorHAnsi"/>
        </w:rPr>
        <w:t xml:space="preserve">, a vision of property where good land use </w:t>
      </w:r>
      <w:r w:rsidR="000E303B" w:rsidRPr="002804C8">
        <w:rPr>
          <w:rFonts w:asciiTheme="majorHAnsi" w:hAnsiTheme="majorHAnsi"/>
        </w:rPr>
        <w:t>is measurable by its performances and property’s normative values.</w:t>
      </w:r>
    </w:p>
    <w:p w14:paraId="5C280675" w14:textId="77777777" w:rsidR="007032DC" w:rsidRPr="002804C8" w:rsidRDefault="000E303B" w:rsidP="007032DC">
      <w:pPr>
        <w:rPr>
          <w:rFonts w:asciiTheme="majorHAnsi" w:hAnsiTheme="majorHAnsi"/>
        </w:rPr>
      </w:pPr>
      <w:r w:rsidRPr="002804C8">
        <w:rPr>
          <w:rFonts w:asciiTheme="majorHAnsi" w:hAnsiTheme="majorHAnsi"/>
        </w:rPr>
        <w:t xml:space="preserve"> </w:t>
      </w:r>
    </w:p>
    <w:p w14:paraId="068C8F13" w14:textId="6FFB1726" w:rsidR="007032DC" w:rsidRPr="002804C8" w:rsidRDefault="007032DC" w:rsidP="007032DC">
      <w:pPr>
        <w:rPr>
          <w:rFonts w:asciiTheme="majorHAnsi" w:hAnsiTheme="majorHAnsi"/>
        </w:rPr>
      </w:pPr>
      <w:r w:rsidRPr="002804C8">
        <w:rPr>
          <w:rFonts w:asciiTheme="majorHAnsi" w:hAnsiTheme="majorHAnsi" w:cs="Times New Roman"/>
        </w:rPr>
        <w:t xml:space="preserve">Ultimately, which </w:t>
      </w:r>
      <w:r w:rsidR="00AD323C" w:rsidRPr="002804C8">
        <w:rPr>
          <w:rFonts w:asciiTheme="majorHAnsi" w:hAnsiTheme="majorHAnsi" w:cs="Times New Roman"/>
        </w:rPr>
        <w:t xml:space="preserve">property </w:t>
      </w:r>
      <w:r w:rsidRPr="002804C8">
        <w:rPr>
          <w:rFonts w:asciiTheme="majorHAnsi" w:hAnsiTheme="majorHAnsi" w:cs="Times New Roman"/>
        </w:rPr>
        <w:t xml:space="preserve">patterns we </w:t>
      </w:r>
      <w:r w:rsidR="00AD323C" w:rsidRPr="002804C8">
        <w:rPr>
          <w:rFonts w:asciiTheme="majorHAnsi" w:hAnsiTheme="majorHAnsi" w:cs="Times New Roman"/>
        </w:rPr>
        <w:t xml:space="preserve">become conditioned to </w:t>
      </w:r>
      <w:r w:rsidRPr="002804C8">
        <w:rPr>
          <w:rFonts w:asciiTheme="majorHAnsi" w:hAnsiTheme="majorHAnsi" w:cs="Times New Roman"/>
        </w:rPr>
        <w:t xml:space="preserve">‘see’ depend on which side of the duality prevails. </w:t>
      </w:r>
      <w:r w:rsidRPr="002804C8">
        <w:rPr>
          <w:rFonts w:asciiTheme="majorHAnsi" w:hAnsiTheme="majorHAnsi"/>
        </w:rPr>
        <w:t xml:space="preserve">The challenge (and </w:t>
      </w:r>
      <w:r w:rsidR="00C24A35" w:rsidRPr="002804C8">
        <w:rPr>
          <w:rFonts w:asciiTheme="majorHAnsi" w:hAnsiTheme="majorHAnsi"/>
        </w:rPr>
        <w:t xml:space="preserve">unmet </w:t>
      </w:r>
      <w:r w:rsidRPr="002804C8">
        <w:rPr>
          <w:rFonts w:asciiTheme="majorHAnsi" w:hAnsiTheme="majorHAnsi"/>
        </w:rPr>
        <w:t xml:space="preserve">opportunity) is to entrench a coherent and enduring place for land obligation in property, one where the implications of property diversity may </w:t>
      </w:r>
      <w:r w:rsidR="00C24A35" w:rsidRPr="002804C8">
        <w:rPr>
          <w:rFonts w:asciiTheme="majorHAnsi" w:hAnsiTheme="majorHAnsi"/>
        </w:rPr>
        <w:t xml:space="preserve">resolve </w:t>
      </w:r>
      <w:r w:rsidRPr="002804C8">
        <w:rPr>
          <w:rFonts w:asciiTheme="majorHAnsi" w:hAnsiTheme="majorHAnsi"/>
        </w:rPr>
        <w:t>this diale</w:t>
      </w:r>
      <w:r w:rsidR="00C24A35" w:rsidRPr="002804C8">
        <w:rPr>
          <w:rFonts w:asciiTheme="majorHAnsi" w:hAnsiTheme="majorHAnsi"/>
        </w:rPr>
        <w:t>ctic tension, and the institution of property</w:t>
      </w:r>
      <w:r w:rsidRPr="002804C8">
        <w:rPr>
          <w:rFonts w:asciiTheme="majorHAnsi" w:hAnsiTheme="majorHAnsi"/>
        </w:rPr>
        <w:t xml:space="preserve"> </w:t>
      </w:r>
      <w:r w:rsidR="00C24A35" w:rsidRPr="002804C8">
        <w:rPr>
          <w:rFonts w:asciiTheme="majorHAnsi" w:hAnsiTheme="majorHAnsi"/>
        </w:rPr>
        <w:t xml:space="preserve">may </w:t>
      </w:r>
      <w:r w:rsidR="0094140A" w:rsidRPr="002804C8">
        <w:rPr>
          <w:rFonts w:asciiTheme="majorHAnsi" w:hAnsiTheme="majorHAnsi"/>
        </w:rPr>
        <w:t xml:space="preserve">start to </w:t>
      </w:r>
      <w:r w:rsidR="00C24A35" w:rsidRPr="002804C8">
        <w:rPr>
          <w:rFonts w:asciiTheme="majorHAnsi" w:hAnsiTheme="majorHAnsi"/>
        </w:rPr>
        <w:t>enhance</w:t>
      </w:r>
      <w:r w:rsidR="0094140A" w:rsidRPr="002804C8">
        <w:rPr>
          <w:rFonts w:asciiTheme="majorHAnsi" w:hAnsiTheme="majorHAnsi"/>
        </w:rPr>
        <w:t>,</w:t>
      </w:r>
      <w:r w:rsidR="00C24A35" w:rsidRPr="002804C8">
        <w:rPr>
          <w:rFonts w:asciiTheme="majorHAnsi" w:hAnsiTheme="majorHAnsi"/>
        </w:rPr>
        <w:t xml:space="preserve"> rather than diminish</w:t>
      </w:r>
      <w:r w:rsidR="0094140A" w:rsidRPr="002804C8">
        <w:rPr>
          <w:rFonts w:asciiTheme="majorHAnsi" w:hAnsiTheme="majorHAnsi"/>
        </w:rPr>
        <w:t>,</w:t>
      </w:r>
      <w:r w:rsidR="00C24A35" w:rsidRPr="002804C8">
        <w:rPr>
          <w:rFonts w:asciiTheme="majorHAnsi" w:hAnsiTheme="majorHAnsi"/>
        </w:rPr>
        <w:t xml:space="preserve"> our capacity to live within our ecological limits.</w:t>
      </w:r>
    </w:p>
    <w:p w14:paraId="595973D7" w14:textId="77777777" w:rsidR="007032DC" w:rsidRPr="002804C8" w:rsidRDefault="007032DC" w:rsidP="007032DC">
      <w:pPr>
        <w:rPr>
          <w:rFonts w:asciiTheme="majorHAnsi" w:hAnsiTheme="majorHAnsi"/>
        </w:rPr>
      </w:pPr>
    </w:p>
    <w:p w14:paraId="57BDD1D3" w14:textId="77777777" w:rsidR="000A2E48" w:rsidRPr="002804C8" w:rsidRDefault="000A2E48" w:rsidP="000A2E48">
      <w:pPr>
        <w:rPr>
          <w:rFonts w:asciiTheme="majorHAnsi" w:hAnsiTheme="majorHAnsi"/>
        </w:rPr>
      </w:pPr>
    </w:p>
    <w:p w14:paraId="282779E0" w14:textId="7A0F17DF" w:rsidR="000E303B" w:rsidRPr="002804C8" w:rsidRDefault="000E303B" w:rsidP="000A2E48">
      <w:pPr>
        <w:rPr>
          <w:rFonts w:asciiTheme="majorHAnsi" w:hAnsiTheme="majorHAnsi"/>
        </w:rPr>
      </w:pPr>
    </w:p>
    <w:sectPr w:rsidR="000E303B" w:rsidRPr="002804C8" w:rsidSect="00D94D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8947" w14:textId="77777777" w:rsidR="00E74259" w:rsidRDefault="00E74259" w:rsidP="000A2E48">
      <w:r>
        <w:separator/>
      </w:r>
    </w:p>
  </w:endnote>
  <w:endnote w:type="continuationSeparator" w:id="0">
    <w:p w14:paraId="696B87B7" w14:textId="77777777" w:rsidR="00E74259" w:rsidRDefault="00E74259" w:rsidP="000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4146" w14:textId="77777777" w:rsidR="00E74259" w:rsidRDefault="00E74259" w:rsidP="000A2E48">
      <w:r>
        <w:separator/>
      </w:r>
    </w:p>
  </w:footnote>
  <w:footnote w:type="continuationSeparator" w:id="0">
    <w:p w14:paraId="762BDE36" w14:textId="77777777" w:rsidR="00E74259" w:rsidRDefault="00E74259" w:rsidP="000A2E48">
      <w:r>
        <w:continuationSeparator/>
      </w:r>
    </w:p>
  </w:footnote>
  <w:footnote w:id="1">
    <w:p w14:paraId="0159D265" w14:textId="77777777" w:rsidR="00E74259" w:rsidRDefault="00E74259" w:rsidP="000A2E48">
      <w:pPr>
        <w:pStyle w:val="FootnoteText"/>
        <w:rPr>
          <w:sz w:val="20"/>
          <w:szCs w:val="20"/>
        </w:rPr>
      </w:pPr>
      <w:r w:rsidRPr="00FC0498">
        <w:rPr>
          <w:rStyle w:val="FootnoteReference"/>
          <w:sz w:val="20"/>
          <w:szCs w:val="20"/>
        </w:rPr>
        <w:footnoteRef/>
      </w:r>
      <w:r w:rsidRPr="00FC0498">
        <w:rPr>
          <w:sz w:val="20"/>
          <w:szCs w:val="20"/>
        </w:rPr>
        <w:t xml:space="preserve"> ‘Land parcels are discrete things, managed separately, and connected to one another only at the </w:t>
      </w:r>
    </w:p>
    <w:p w14:paraId="6DE91B72" w14:textId="77777777" w:rsidR="00E74259" w:rsidRPr="00FC0498" w:rsidRDefault="00E74259" w:rsidP="000A2E48">
      <w:pPr>
        <w:pStyle w:val="FootnoteText"/>
        <w:rPr>
          <w:sz w:val="20"/>
          <w:szCs w:val="20"/>
        </w:rPr>
      </w:pPr>
      <w:proofErr w:type="gramStart"/>
      <w:r w:rsidRPr="00FC0498">
        <w:rPr>
          <w:sz w:val="20"/>
          <w:szCs w:val="20"/>
        </w:rPr>
        <w:t>edge</w:t>
      </w:r>
      <w:proofErr w:type="gramEnd"/>
      <w:r w:rsidRPr="00FC0498">
        <w:rPr>
          <w:sz w:val="20"/>
          <w:szCs w:val="20"/>
        </w:rPr>
        <w:t xml:space="preserve">.’ Eric T. </w:t>
      </w:r>
      <w:proofErr w:type="spellStart"/>
      <w:r w:rsidRPr="00FC0498">
        <w:rPr>
          <w:sz w:val="20"/>
          <w:szCs w:val="20"/>
        </w:rPr>
        <w:t>Freyfogle</w:t>
      </w:r>
      <w:proofErr w:type="spellEnd"/>
      <w:r w:rsidRPr="00FC0498">
        <w:rPr>
          <w:sz w:val="20"/>
          <w:szCs w:val="20"/>
        </w:rPr>
        <w:t xml:space="preserve">, ‘Bounded People, Boundless Land’ in </w:t>
      </w:r>
      <w:r w:rsidRPr="00FC0498">
        <w:rPr>
          <w:i/>
          <w:sz w:val="20"/>
          <w:szCs w:val="20"/>
        </w:rPr>
        <w:t>Stewardship Across Boundaries,</w:t>
      </w:r>
      <w:r w:rsidRPr="00FC0498">
        <w:rPr>
          <w:sz w:val="20"/>
          <w:szCs w:val="20"/>
        </w:rPr>
        <w:t xml:space="preserve"> (Richard L. Knight &amp; peter </w:t>
      </w:r>
      <w:proofErr w:type="spellStart"/>
      <w:r w:rsidRPr="00FC0498">
        <w:rPr>
          <w:sz w:val="20"/>
          <w:szCs w:val="20"/>
        </w:rPr>
        <w:t>Landres</w:t>
      </w:r>
      <w:proofErr w:type="spellEnd"/>
      <w:r w:rsidRPr="00FC0498">
        <w:rPr>
          <w:sz w:val="20"/>
          <w:szCs w:val="20"/>
        </w:rPr>
        <w:t xml:space="preserve"> (eds. 1998)</w:t>
      </w:r>
      <w:r>
        <w:rPr>
          <w:sz w:val="20"/>
          <w:szCs w:val="20"/>
        </w:rPr>
        <w:t xml:space="preserve"> 17.</w:t>
      </w:r>
    </w:p>
  </w:footnote>
  <w:footnote w:id="2">
    <w:p w14:paraId="22CECB72" w14:textId="77777777" w:rsidR="00E74259" w:rsidRDefault="00E74259" w:rsidP="000A2E48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E6437">
        <w:rPr>
          <w:sz w:val="20"/>
          <w:szCs w:val="20"/>
        </w:rPr>
        <w:t xml:space="preserve">Aldo Leopold, </w:t>
      </w:r>
      <w:r w:rsidRPr="00DE6437">
        <w:rPr>
          <w:i/>
          <w:sz w:val="20"/>
          <w:szCs w:val="20"/>
        </w:rPr>
        <w:t>For the Health of the Land: Previously Unpublished Essays and Other Writings</w:t>
      </w:r>
      <w:r w:rsidRPr="00DE6437">
        <w:rPr>
          <w:sz w:val="20"/>
          <w:szCs w:val="20"/>
        </w:rPr>
        <w:t xml:space="preserve"> </w:t>
      </w:r>
    </w:p>
    <w:p w14:paraId="725F8A23" w14:textId="77777777" w:rsidR="00E74259" w:rsidRPr="0021704F" w:rsidRDefault="00E74259" w:rsidP="000A2E48">
      <w:pPr>
        <w:rPr>
          <w:sz w:val="20"/>
          <w:szCs w:val="20"/>
        </w:rPr>
      </w:pPr>
      <w:r w:rsidRPr="00DE6437">
        <w:rPr>
          <w:sz w:val="20"/>
          <w:szCs w:val="20"/>
        </w:rPr>
        <w:t xml:space="preserve">(Island Press, 1999) (J. Baird </w:t>
      </w:r>
      <w:proofErr w:type="spellStart"/>
      <w:r w:rsidRPr="00DE6437">
        <w:rPr>
          <w:sz w:val="20"/>
          <w:szCs w:val="20"/>
        </w:rPr>
        <w:t>Callicott</w:t>
      </w:r>
      <w:proofErr w:type="spellEnd"/>
      <w:r w:rsidRPr="00DE6437">
        <w:rPr>
          <w:sz w:val="20"/>
          <w:szCs w:val="20"/>
        </w:rPr>
        <w:t xml:space="preserve"> &amp; Eric T. </w:t>
      </w:r>
      <w:proofErr w:type="spellStart"/>
      <w:r w:rsidRPr="00DE6437">
        <w:rPr>
          <w:sz w:val="20"/>
          <w:szCs w:val="20"/>
        </w:rPr>
        <w:t>Freyfogle</w:t>
      </w:r>
      <w:proofErr w:type="spellEnd"/>
      <w:r w:rsidRPr="00DE6437">
        <w:rPr>
          <w:sz w:val="20"/>
          <w:szCs w:val="20"/>
        </w:rPr>
        <w:t xml:space="preserve"> </w:t>
      </w:r>
      <w:proofErr w:type="gramStart"/>
      <w:r w:rsidRPr="00DE6437">
        <w:rPr>
          <w:sz w:val="20"/>
          <w:szCs w:val="20"/>
        </w:rPr>
        <w:t>eds</w:t>
      </w:r>
      <w:proofErr w:type="gramEnd"/>
      <w:r w:rsidRPr="00DE6437">
        <w:rPr>
          <w:sz w:val="20"/>
          <w:szCs w:val="20"/>
        </w:rPr>
        <w:t>.) 168</w:t>
      </w:r>
      <w:r w:rsidRPr="0021704F">
        <w:t xml:space="preserve"> </w:t>
      </w:r>
      <w:r w:rsidRPr="0021704F">
        <w:rPr>
          <w:sz w:val="20"/>
          <w:szCs w:val="20"/>
        </w:rPr>
        <w:t>“Doesn’t conservation imply a certain interspersion of land-uses, a certain pepper-and-salt pattern in the warp and woof of the land-use fabric?”</w:t>
      </w:r>
    </w:p>
  </w:footnote>
  <w:footnote w:id="3">
    <w:p w14:paraId="5643439F" w14:textId="77777777" w:rsidR="00E74259" w:rsidRPr="000E303B" w:rsidRDefault="00E74259">
      <w:pPr>
        <w:pStyle w:val="FootnoteText"/>
        <w:rPr>
          <w:sz w:val="20"/>
          <w:szCs w:val="20"/>
        </w:rPr>
      </w:pPr>
      <w:r w:rsidRPr="000E303B">
        <w:rPr>
          <w:rStyle w:val="FootnoteReference"/>
          <w:sz w:val="20"/>
          <w:szCs w:val="20"/>
        </w:rPr>
        <w:footnoteRef/>
      </w:r>
      <w:r w:rsidRPr="000E303B">
        <w:rPr>
          <w:sz w:val="20"/>
          <w:szCs w:val="20"/>
        </w:rPr>
        <w:t xml:space="preserve"> Gregory Alexander, </w:t>
      </w:r>
      <w:r w:rsidRPr="000E303B">
        <w:rPr>
          <w:i/>
          <w:sz w:val="20"/>
          <w:szCs w:val="20"/>
        </w:rPr>
        <w:t>Commodity &amp; propriety Competing Visions in American Legal Thought 1776-</w:t>
      </w:r>
      <w:r w:rsidRPr="00695755">
        <w:rPr>
          <w:i/>
          <w:sz w:val="20"/>
          <w:szCs w:val="20"/>
        </w:rPr>
        <w:t>1970</w:t>
      </w:r>
      <w:r>
        <w:rPr>
          <w:sz w:val="20"/>
          <w:szCs w:val="20"/>
        </w:rPr>
        <w:t xml:space="preserve"> (1997)</w:t>
      </w:r>
    </w:p>
  </w:footnote>
  <w:footnote w:id="4">
    <w:p w14:paraId="6D85FB9B" w14:textId="77777777" w:rsidR="00E74259" w:rsidRPr="006D6806" w:rsidRDefault="00E74259" w:rsidP="00484715">
      <w:pPr>
        <w:pStyle w:val="FootnoteText"/>
        <w:rPr>
          <w:sz w:val="20"/>
          <w:szCs w:val="20"/>
        </w:rPr>
      </w:pPr>
      <w:r w:rsidRPr="006D6806">
        <w:rPr>
          <w:rStyle w:val="FootnoteReference"/>
          <w:sz w:val="20"/>
          <w:szCs w:val="20"/>
        </w:rPr>
        <w:footnoteRef/>
      </w:r>
      <w:r w:rsidRPr="006D6806">
        <w:rPr>
          <w:sz w:val="20"/>
          <w:szCs w:val="20"/>
        </w:rPr>
        <w:t xml:space="preserve"> </w:t>
      </w:r>
      <w:r w:rsidRPr="0007600D">
        <w:rPr>
          <w:sz w:val="20"/>
          <w:szCs w:val="20"/>
        </w:rPr>
        <w:t xml:space="preserve">Eduardo </w:t>
      </w:r>
      <w:proofErr w:type="spellStart"/>
      <w:r w:rsidRPr="0007600D">
        <w:rPr>
          <w:sz w:val="20"/>
          <w:szCs w:val="20"/>
        </w:rPr>
        <w:t>Penalver</w:t>
      </w:r>
      <w:proofErr w:type="spellEnd"/>
      <w:r w:rsidRPr="0007600D">
        <w:rPr>
          <w:sz w:val="20"/>
          <w:szCs w:val="20"/>
        </w:rPr>
        <w:t xml:space="preserve">, </w:t>
      </w:r>
      <w:r>
        <w:rPr>
          <w:sz w:val="20"/>
          <w:szCs w:val="20"/>
        </w:rPr>
        <w:t>“</w:t>
      </w:r>
      <w:r w:rsidRPr="0007600D">
        <w:rPr>
          <w:sz w:val="20"/>
          <w:szCs w:val="20"/>
        </w:rPr>
        <w:t>Land Virtues</w:t>
      </w:r>
      <w:r>
        <w:rPr>
          <w:sz w:val="20"/>
          <w:szCs w:val="20"/>
        </w:rPr>
        <w:t>”</w:t>
      </w:r>
      <w:r w:rsidRPr="0007600D">
        <w:rPr>
          <w:sz w:val="20"/>
          <w:szCs w:val="20"/>
        </w:rPr>
        <w:t xml:space="preserve">, (2009) 94 </w:t>
      </w:r>
      <w:r w:rsidRPr="0007600D">
        <w:rPr>
          <w:i/>
          <w:sz w:val="20"/>
          <w:szCs w:val="20"/>
        </w:rPr>
        <w:t>Cornell LR</w:t>
      </w:r>
      <w:r w:rsidRPr="0007600D">
        <w:rPr>
          <w:sz w:val="20"/>
          <w:szCs w:val="20"/>
        </w:rPr>
        <w:t xml:space="preserve"> </w:t>
      </w:r>
      <w:r>
        <w:rPr>
          <w:sz w:val="20"/>
          <w:szCs w:val="20"/>
        </w:rPr>
        <w:t>876</w:t>
      </w:r>
    </w:p>
  </w:footnote>
  <w:footnote w:id="5">
    <w:p w14:paraId="48126923" w14:textId="77777777" w:rsidR="00E74259" w:rsidRPr="00E35B3C" w:rsidRDefault="00E74259" w:rsidP="00AD323C">
      <w:pPr>
        <w:pStyle w:val="FootnoteText"/>
        <w:rPr>
          <w:sz w:val="20"/>
          <w:szCs w:val="20"/>
        </w:rPr>
      </w:pPr>
      <w:r w:rsidRPr="00E35B3C">
        <w:rPr>
          <w:rStyle w:val="FootnoteReference"/>
          <w:sz w:val="20"/>
          <w:szCs w:val="20"/>
        </w:rPr>
        <w:footnoteRef/>
      </w:r>
      <w:r w:rsidRPr="00E35B3C">
        <w:rPr>
          <w:sz w:val="20"/>
          <w:szCs w:val="20"/>
        </w:rPr>
        <w:t xml:space="preserve"> Nicholas </w:t>
      </w:r>
      <w:proofErr w:type="spellStart"/>
      <w:r w:rsidRPr="00E35B3C">
        <w:rPr>
          <w:sz w:val="20"/>
          <w:szCs w:val="20"/>
        </w:rPr>
        <w:t>Blomley</w:t>
      </w:r>
      <w:proofErr w:type="spellEnd"/>
      <w:r w:rsidRPr="00E35B3C">
        <w:rPr>
          <w:sz w:val="20"/>
          <w:szCs w:val="20"/>
        </w:rPr>
        <w:t xml:space="preserve">, </w:t>
      </w:r>
      <w:r w:rsidRPr="00E35B3C">
        <w:rPr>
          <w:i/>
          <w:sz w:val="20"/>
          <w:szCs w:val="20"/>
        </w:rPr>
        <w:t>Unsettling the City: Urban land and the Politics of Property</w:t>
      </w:r>
      <w:r w:rsidRPr="00E35B3C">
        <w:rPr>
          <w:sz w:val="20"/>
          <w:szCs w:val="20"/>
        </w:rPr>
        <w:t xml:space="preserve"> (2004) </w:t>
      </w:r>
    </w:p>
    <w:p w14:paraId="05583910" w14:textId="77777777" w:rsidR="00E74259" w:rsidRDefault="00E7425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93"/>
    <w:rsid w:val="00005435"/>
    <w:rsid w:val="000A2E48"/>
    <w:rsid w:val="000E303B"/>
    <w:rsid w:val="002804C8"/>
    <w:rsid w:val="0035315D"/>
    <w:rsid w:val="00410D09"/>
    <w:rsid w:val="00484715"/>
    <w:rsid w:val="007032DC"/>
    <w:rsid w:val="00907293"/>
    <w:rsid w:val="0094140A"/>
    <w:rsid w:val="00AD323C"/>
    <w:rsid w:val="00C24A35"/>
    <w:rsid w:val="00D94D16"/>
    <w:rsid w:val="00E74259"/>
    <w:rsid w:val="00F1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49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A2E48"/>
  </w:style>
  <w:style w:type="character" w:customStyle="1" w:styleId="FootnoteTextChar">
    <w:name w:val="Footnote Text Char"/>
    <w:basedOn w:val="DefaultParagraphFont"/>
    <w:link w:val="FootnoteText"/>
    <w:rsid w:val="000A2E48"/>
  </w:style>
  <w:style w:type="character" w:styleId="FootnoteReference">
    <w:name w:val="footnote reference"/>
    <w:basedOn w:val="DefaultParagraphFont"/>
    <w:unhideWhenUsed/>
    <w:rsid w:val="000A2E4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A2E48"/>
  </w:style>
  <w:style w:type="character" w:customStyle="1" w:styleId="FootnoteTextChar">
    <w:name w:val="Footnote Text Char"/>
    <w:basedOn w:val="DefaultParagraphFont"/>
    <w:link w:val="FootnoteText"/>
    <w:rsid w:val="000A2E48"/>
  </w:style>
  <w:style w:type="character" w:styleId="FootnoteReference">
    <w:name w:val="footnote reference"/>
    <w:basedOn w:val="DefaultParagraphFont"/>
    <w:unhideWhenUsed/>
    <w:rsid w:val="000A2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235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PAGE</dc:creator>
  <cp:keywords/>
  <dc:description/>
  <cp:lastModifiedBy>Sarah de Wit</cp:lastModifiedBy>
  <cp:revision>7</cp:revision>
  <dcterms:created xsi:type="dcterms:W3CDTF">2013-08-06T03:29:00Z</dcterms:created>
  <dcterms:modified xsi:type="dcterms:W3CDTF">2013-09-12T07:05:00Z</dcterms:modified>
</cp:coreProperties>
</file>